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Lista de cotejo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Caso de estudio</w:t>
      </w:r>
    </w:p>
    <w:tbl>
      <w:tblPr>
        <w:tblStyle w:val="Table1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998"/>
        <w:tblGridChange w:id="0">
          <w:tblGrid>
            <w:gridCol w:w="2830"/>
            <w:gridCol w:w="599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Nombre de los integrantes: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Alvarez Ruiz Farid Emmanuel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 Camacho Carballo Gabriel de Jesús 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Brito Hernández Danna Patricia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Campos Suárez Karyme Guadalupe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Núm. de equipo y nombre de empresa local: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Equipo 1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Santo Pikete 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-1144.0" w:type="dxa"/>
        <w:tblLayout w:type="fixed"/>
        <w:tblLook w:val="0600"/>
      </w:tblPr>
      <w:tblGrid>
        <w:gridCol w:w="6379"/>
        <w:gridCol w:w="709"/>
        <w:gridCol w:w="709"/>
        <w:gridCol w:w="3543"/>
        <w:tblGridChange w:id="0">
          <w:tblGrid>
            <w:gridCol w:w="6379"/>
            <w:gridCol w:w="709"/>
            <w:gridCol w:w="709"/>
            <w:gridCol w:w="3543"/>
          </w:tblGrid>
        </w:tblGridChange>
      </w:tblGrid>
      <w:tr>
        <w:trPr>
          <w:cantSplit w:val="0"/>
          <w:trHeight w:val="316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8e8e8" w:val="clear"/>
            <w:tcMar>
              <w:top w:w="15.0" w:type="dxa"/>
              <w:left w:w="48.0" w:type="dxa"/>
              <w:bottom w:w="0.0" w:type="dxa"/>
              <w:right w:w="4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 de evaluación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8e8e8" w:val="clear"/>
            <w:tcMar>
              <w:top w:w="15.0" w:type="dxa"/>
              <w:left w:w="48.0" w:type="dxa"/>
              <w:bottom w:w="0.0" w:type="dxa"/>
              <w:right w:w="4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Observaciones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 avance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Redacción del caso + Mapa de actores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Descripción concreta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clara del contexto del servicio.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205989913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 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tuvo algunas complicaciones al momento de realizar la actividad solicitada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Problema u oportunidad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identificado.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75960480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Actores clave con roles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intereses y nivel de influencia.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47244523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Formato visual del mapa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(tabla, diagrama o matriz).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76518828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Brief de investigación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 de negocio: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Claridad sobre mejorar recompra y estabilizar NPS; metas tentativas y horizonte temporal.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1692325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tuvieron complicaciones a la hora de determinar los objetivos, pero se lograron resolver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Preguntas de investigación: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3–5 preguntas accionables que conecten causas de baja recompra/NPS con decisiones.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4737851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2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Alcance y exclusiones: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Qué sí/no se investigará (p. ej., sólo clientes de los últimos 6 meses; no incluye pricing avanzado).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76216381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6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Población y muestra: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Definición de clientes actuales, exclientes y no clientes; criterios de selección.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67223807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Métodos y justificación: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Enfoque mixto (entrevistas + encuesta) con racional pedagógico y operativo.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76593980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Indicadores clave: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NPS, tasa de recompra, satisfacción por momento de verdad, recomendación boca a boca.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654853099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Cronograma y entregables: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Hitos con fechas y responsables por pieza (cuali, cuanti, integración).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3565772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Supuestos y riesgos: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Sesgo de memoria, baja tasa de respuesta, estacionalidad; planes de mitigación.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4553622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Recursos y ética: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Herramientas, tiempos, consentimiento, anonimato, resguardo de datos.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42408265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Guía v1 y validación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 de la sesión: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Qué se busca entender (barreras a la recompra, drivers de recomendación).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34348962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after="0" w:lineRule="auto"/>
              <w:ind w:left="1080" w:hanging="649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Perfil del participante: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Segmento, frecuencia de compra, estatus (promotor/pasivo/detractor).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62643981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spacing w:after="0" w:lineRule="auto"/>
              <w:ind w:left="856" w:hanging="425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Estructura de bloques: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Calentamiento, experiencia actual, puntos de dolor, comparación, cierre.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95923691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spacing w:after="0" w:lineRule="auto"/>
              <w:ind w:left="856" w:hanging="425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Preguntas abiertas: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Redacción clara, una intención por pregunta; sin inducir respuestas.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689437028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Probes/sondeos: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Profundizadores tipo “¿puedes darme un ejemplo?” para causas y emociones.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51006851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3">
            <w:pPr>
              <w:numPr>
                <w:ilvl w:val="0"/>
                <w:numId w:val="4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Momentos de verdad: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Indagar contacto, servicio, calidad, precio, postventa y su impacto en recompra/NPS.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45024389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7">
            <w:pPr>
              <w:numPr>
                <w:ilvl w:val="0"/>
                <w:numId w:val="4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Ética y consentimiento: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breve de apertura y permiso para grabar/anotar.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23508626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Pilotaje y ajustes: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Registro de cambios tras 1–2 pruebas; tiempo estimado por bloque. LG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88010336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F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Transcripciones y notas de campo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Fidelidad y completitud: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Transcripción literal de cada entrevista; marcas temporales mínimas por tema.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429062794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  ✓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Debido a situaciones que no podemos evitar se nos presento una complicación a la hora de trabajar lo cual fue un atrasó, ademas nuestra herramienta fue encuesta por lo cual el proceso para estos puntos fue diferente.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Anonimización: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Códigos de participante y supresión de datos sensibles.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553681246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Señales contextuales: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Notas de pausas, énfasis y emociones cuando aporten significado.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84714943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C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Limpieza y formato: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Ortografía básica, consistencia de etiquetas de temas y turnos.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</w:t>
            </w:r>
            <w:sdt>
              <w:sdtPr>
                <w:id w:val="1206881222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0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Trazabilidad: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Carpeta organizada por fecha; índice maestro de archivos y duración.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873357553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4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Control de calidad: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Muestra revisada contra audio (al menos 10%) y correcciones registradas.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368950786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8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Matriz de códigos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Marco inicial: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Categorías deductivas (recompra, NPS, servicio, calidad, precio, conveniencia) y espacio para inductivas.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55113210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tuvieron dificultades a la hora de realizar los códigos porque no sabíamos cómo hacerlos con exactitud.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D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Definiciones operativas: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Qué incluye/excluye cada código; palabras clave típicas.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161623960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1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Ejemplos y contraejemplos: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Citas textuales ilustrativas por código.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44524383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5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Jerarquía y relaciones: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Temas, subtemas y vínculos (p. ej., “tiempos de espera” dentro de “servicio”).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861724095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9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Reglas de aplicación: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Unidades de significado, doble codificación permitida o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518184670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D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Confiabilidad: </w:t>
            </w:r>
            <w:sdt>
              <w:sdtPr>
                <w:id w:val="-1333829991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Doble codificación en ≥10% y acuerdo reportado (p. ej., porcentaje o κ breve).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355459944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1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Informe cualitativo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Resumen ejecutivo: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5–7 hallazgos clave sobre por qué no recompran y por qué varía el NPS.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25272628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Fue más sencillo ya que teníamos la información necesaria para realizar la actividad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6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Método y muestra: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Diseño, perfiles, número de entrevistas y límites de inferencia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788155381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A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Hallazgos por tema: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Narrativa clara con 2–3 citas representativas por tema.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5278703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E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Mapas visuales: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Journey del cliente, momentos de verdad, y puntos de dolor/ganancias.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18534189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2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Insights accionables: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Tensión clave, oportunidad y recomendación inmediata; priorización por impacto/factibilidad.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809437502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6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Limitaciones: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Sesgos potenciales y qué evidencia adicional se requiere.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77627855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A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Cuestionario validado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 y constructos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Qué medirá (satisfacción, calidad percibida, NPS, intención de recompra).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221081502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comprendió con facilidad el documento por lo que la actividad fue fácil y rápido de realizar.</w:t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 tuvimos ningún inconveniente y todos participamos en la elaboración del documento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0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Ítems por constructo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3–5 reactivos tipo Likert por dimensión; redacción simple y univoca.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519590935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4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Flujo y filtros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Orden lógico, preguntas de calificación, y saltos correctos.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54487310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8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Ítem NPS estándar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Pregunta 0–10 de recomendación y pregunta abierta de “¿por qué?”.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381200561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C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Validez de contenido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Revisión de 2–3 jueces; registro de cambios post revisión.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791832423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0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Pilotaje y ajuste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N=15–30; tiempos, claridad y eliminación de ítems problemáticos.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62324820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4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Datos demográficos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Variables mínimas para segmentar sin invadir privacidad.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77122788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8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Ética y consentimiento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Propósito, anonimato y uso educativo.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2118302960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Base de datos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Diccionario de variables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Nombre, etiqueta, tipo, valores y códigos de ausentes.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020199913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Debido a que se tenia la información adecuada se pudo completar satisfactoriamente la resolución de los puntos.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1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Integridad y limpieza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Rangos válidos, detección de duplicados y registros incompletos documentados.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840941316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Estructura ordenada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Una fila por respondente; columnas por variables e ítems.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626176685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Derivadas calculadas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Categorías NPS (promotor/pasivo/detractor) y recompra binaria o frecuencia.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Versionado y trazabilidad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Control de versiones y fecha de corte; bitácora de cambios.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874677889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E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Resguardo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Carpeta con archivo maestro y respaldo; permisos de acceso.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552138088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Reporte descriptivo y fiabilidad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Perfil de la muestra: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Tamaño, segmentos relevantes y tasas de respuesta.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285321957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comprendió y avanzó con la actividad, hubieron algunos puntos que costaron pero se concluyó adecuadamente.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Descriptivos claros: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Frecuencias, medias y dispersiones por variable clave; gráficos legibles.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505730586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B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Cálculo de NPS: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Porcentaje de promotores menos porcentaje de detractores, con intervalo visual.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\text{NPS} = \% \text{Promotores} - \% \text{Detractores}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227547195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Recompra y comportamiento: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Tasa de recompra y cruces con satisfacción/NPS.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31981583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Fiabilidad de escalas: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Alfa de Cronbach por constructo, ítems corregidos y decisión de retención/eliminación.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789628993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Notas técnicas: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Supuestos, limitaciones y tamaño muestral efectivo.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680702650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C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Informe mixto (esquema, borrador, final)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Preguntas respondidas: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Síntesis explícita de cómo cada método contribuye a las respuestas.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714438953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Cada integrante del equipo realizo una parte del trabajo lo cual lo hizo mas sencillo de llevar a cabo y demostró una mejoría en la forma de trabajar del equipo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1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Convergencias/divergencias: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Tabla o figura “joint display” triangulando hallazgos.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074983689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5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Segmentos clave: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Diferencias por promotores/pasivos/detractores y por frecuencia de compra.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367374247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9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Recomendaciones priorizadas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Acciones concretas, responsables, indicadores y cronograma de piloto.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484781966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Impacto esperado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Vínculo entre acción y métrica (recompra, NPS, tickets); riesgos y mitigación.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36501689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1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Apéndices: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Instrumentos, codebook, tablas ampliadas y criterios de calidad.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392988210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5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Presentación final (Pitch)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Storyline ejecutivo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claro y estructurado (problema, evidencia, hallazgos, acción, métrica/solución).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Uso de evidencias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(datos, citas, gráficos).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Narrativa convincente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profesional con mensajes clave (de 3 a 5 “bullets” memorables con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qué hacer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cómo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medir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Plan de implementación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próximos 30 a 90 días, responsables y KPIs de seguimiento.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Material visual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bien diseñado con plantilla institucional, tipografía legible y consistencia cromática.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Apto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ccvyLEfpZFTb3OyoGjK6YNNww==">CgMxLjAaJAoBMBIfCh0IB0IZCgVBcmlhbBIQQXJpYWwgVW5pY29kZSBNUxokCgExEh8KHQgHQhkKBUFyaWFsEhBBcmlhbCBVbmljb2RlIE1TGiQKATISHwodCAdCGQoFQXJpYWwSEEFyaWFsIFVuaWNvZGUgTVMaJAoBMxIfCh0IB0IZCgVBcmlhbB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zgAciExaHNsNWNtVlRBY2FJQUhCTmNsQ281Y05RZ2hSQXphb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